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u w:val="single"/>
        </w:rPr>
      </w:pPr>
      <w:r>
        <w:rPr>
          <w:b w:val="1"/>
          <w:bCs w:val="1"/>
          <w:sz w:val="30"/>
          <w:szCs w:val="30"/>
          <w:u w:val="single"/>
          <w:rtl w:val="0"/>
          <w:lang w:val="en-US"/>
        </w:rPr>
        <w:t>UK Kidney Week Exhibitor Risk Assessment</w:t>
      </w:r>
    </w:p>
    <w:p>
      <w:pPr>
        <w:pStyle w:val="Body"/>
        <w:bidi w:val="0"/>
      </w:pPr>
    </w:p>
    <w:p>
      <w:pPr>
        <w:pStyle w:val="Body"/>
        <w:bidi w:val="0"/>
      </w:pPr>
    </w:p>
    <w:p>
      <w:pPr>
        <w:pStyle w:val="Body"/>
        <w:bidi w:val="0"/>
      </w:pPr>
      <w:r>
        <w:rPr>
          <w:rtl w:val="0"/>
        </w:rPr>
        <w:t>This risk assessment is designed for exhibitors who do not intend on undertaking any construction activities. Shell scheme stands have been constructed by the nominated supplier during the CDM period, prior to the arrival of exhibitors. Where a stand contractor has been employed a separate risk assessment will be required from them and a more comprehensive version of the below assessment will be required accounting for any additional risks created</w:t>
      </w:r>
    </w:p>
    <w:p>
      <w:pPr>
        <w:pStyle w:val="Body"/>
        <w:bidi w:val="0"/>
      </w:pPr>
    </w:p>
    <w:p>
      <w:pPr>
        <w:pStyle w:val="Body"/>
        <w:bidi w:val="0"/>
      </w:pPr>
      <w:r>
        <w:rPr>
          <w:rtl w:val="0"/>
        </w:rPr>
        <w:t>The management of health &amp; safety at work regulations 1999, stipulates that all employers have a responsibility to provide a suitable and sufficient risk assessment. This regulation is as much relevant to events as it is fixed places of work - if not more so, with consideration of a foreign environment and other persons conducting activities that can</w:t>
      </w:r>
      <w:r>
        <w:rPr>
          <w:rtl w:val="0"/>
        </w:rPr>
        <w:t>’</w:t>
      </w:r>
      <w:r>
        <w:rPr>
          <w:rtl w:val="0"/>
        </w:rPr>
        <w:t>t be fully accounted for prior to arriving onsite. A strong emphasis is placed on dynamic risk assessments, standard safe practices and a safety manager constantly assessing collective activities that pose potential risks.</w:t>
      </w:r>
    </w:p>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50"/>
        <w:gridCol w:w="7287"/>
      </w:tblGrid>
      <w:tr>
        <w:tblPrEx>
          <w:shd w:val="clear" w:color="auto" w:fill="auto"/>
        </w:tblPrEx>
        <w:trPr>
          <w:trHeight w:val="293" w:hRule="atLeast"/>
          <w:tblHeader/>
        </w:trPr>
        <w:tc>
          <w:tcPr>
            <w:tcW w:type="dxa" w:w="9637"/>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rPr>
                <w:b w:val="1"/>
                <w:bCs w:val="1"/>
              </w:rPr>
              <w:t>Key Details:</w:t>
            </w:r>
          </w:p>
        </w:tc>
      </w:tr>
      <w:tr>
        <w:tblPrEx>
          <w:shd w:val="clear" w:color="auto" w:fill="auto"/>
        </w:tblPrEx>
        <w:trPr>
          <w:trHeight w:val="280" w:hRule="atLeast"/>
        </w:trPr>
        <w:tc>
          <w:tcPr>
            <w:tcW w:type="dxa" w:w="2350"/>
            <w:tcBorders>
              <w:top w:val="single" w:color="000000" w:sz="2" w:space="0" w:shadow="0" w:frame="0"/>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Responsible Person:</w:t>
            </w:r>
          </w:p>
        </w:tc>
        <w:tc>
          <w:tcPr>
            <w:tcW w:type="dxa" w:w="7287"/>
            <w:tcBorders>
              <w:top w:val="single" w:color="000000" w:sz="2" w:space="0" w:shadow="0" w:frame="0"/>
              <w:left w:val="nil"/>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2350"/>
            <w:tcBorders>
              <w:top w:val="nil"/>
              <w:left w:val="single" w:color="000000" w:sz="2"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Company Name:</w:t>
            </w:r>
          </w:p>
        </w:tc>
        <w:tc>
          <w:tcPr>
            <w:tcW w:type="dxa" w:w="7287"/>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80" w:hRule="atLeast"/>
        </w:trPr>
        <w:tc>
          <w:tcPr>
            <w:tcW w:type="dxa" w:w="2350"/>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Date(s):</w:t>
            </w:r>
          </w:p>
        </w:tc>
        <w:tc>
          <w:tcPr>
            <w:tcW w:type="dxa" w:w="7287"/>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2350"/>
            <w:tcBorders>
              <w:top w:val="nil"/>
              <w:left w:val="single" w:color="000000" w:sz="2" w:space="0" w:shadow="0" w:frame="0"/>
              <w:bottom w:val="single" w:color="000000" w:sz="2" w:space="0" w:shadow="0" w:frame="0"/>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PLI provider:</w:t>
            </w:r>
          </w:p>
        </w:tc>
        <w:tc>
          <w:tcPr>
            <w:tcW w:type="dxa" w:w="7287"/>
            <w:tcBorders>
              <w:top w:val="nil"/>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81"/>
        <w:gridCol w:w="5451"/>
      </w:tblGrid>
      <w:tr>
        <w:tblPrEx>
          <w:shd w:val="clear" w:color="auto" w:fill="auto"/>
        </w:tblPrEx>
        <w:trPr>
          <w:trHeight w:val="293" w:hRule="atLeast"/>
          <w:tblHeader/>
        </w:trPr>
        <w:tc>
          <w:tcPr>
            <w:tcW w:type="dxa" w:w="9632"/>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rPr>
                <w:b w:val="1"/>
                <w:bCs w:val="1"/>
              </w:rPr>
              <w:t>Risks Assessed:</w:t>
            </w:r>
          </w:p>
        </w:tc>
      </w:tr>
      <w:tr>
        <w:tblPrEx>
          <w:shd w:val="clear" w:color="auto" w:fill="auto"/>
        </w:tblPrEx>
        <w:trPr>
          <w:trHeight w:val="280" w:hRule="atLeast"/>
        </w:trPr>
        <w:tc>
          <w:tcPr>
            <w:tcW w:type="dxa" w:w="4181"/>
            <w:tcBorders>
              <w:top w:val="single" w:color="000000" w:sz="2" w:space="0" w:shadow="0" w:frame="0"/>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Potential Hazard / Risk</w:t>
            </w:r>
          </w:p>
        </w:tc>
        <w:tc>
          <w:tcPr>
            <w:tcW w:type="dxa" w:w="5451"/>
            <w:tcBorders>
              <w:top w:val="single" w:color="000000" w:sz="2" w:space="0" w:shadow="0" w:frame="0"/>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Acceptable Control Measures</w:t>
            </w:r>
          </w:p>
        </w:tc>
      </w:tr>
      <w:tr>
        <w:tblPrEx>
          <w:shd w:val="clear" w:color="auto" w:fill="auto"/>
        </w:tblPrEx>
        <w:trPr>
          <w:trHeight w:val="714" w:hRule="atLeast"/>
        </w:trPr>
        <w:tc>
          <w:tcPr>
            <w:tcW w:type="dxa" w:w="4181"/>
            <w:tcBorders>
              <w:top w:val="nil"/>
              <w:left w:val="single" w:color="000000" w:sz="2"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Slip / Trip / Fall Hazards</w:t>
            </w:r>
          </w:p>
        </w:tc>
        <w:tc>
          <w:tcPr>
            <w:tcW w:type="dxa" w:w="5451"/>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 use of ladders is not required. All materials will be kept within the confines of the stand. All spillages will be reported to the cleaning team.</w:t>
            </w:r>
          </w:p>
        </w:tc>
      </w:tr>
      <w:tr>
        <w:tblPrEx>
          <w:shd w:val="clear" w:color="auto" w:fill="auto"/>
        </w:tblPrEx>
        <w:trPr>
          <w:trHeight w:val="474" w:hRule="atLeast"/>
        </w:trPr>
        <w:tc>
          <w:tcPr>
            <w:tcW w:type="dxa" w:w="4181"/>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Impact Injury Hazards</w:t>
            </w:r>
          </w:p>
        </w:tc>
        <w:tc>
          <w:tcPr>
            <w:tcW w:type="dxa" w:w="5451"/>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materials/equipment will be securely fixed when over waist height. Tall items will be weighted as required.</w:t>
            </w:r>
          </w:p>
        </w:tc>
      </w:tr>
      <w:tr>
        <w:tblPrEx>
          <w:shd w:val="clear" w:color="auto" w:fill="auto"/>
        </w:tblPrEx>
        <w:trPr>
          <w:trHeight w:val="714" w:hRule="atLeast"/>
        </w:trPr>
        <w:tc>
          <w:tcPr>
            <w:tcW w:type="dxa" w:w="4181"/>
            <w:tcBorders>
              <w:top w:val="nil"/>
              <w:left w:val="single" w:color="000000" w:sz="2"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Electrical Hazards</w:t>
            </w:r>
          </w:p>
        </w:tc>
        <w:tc>
          <w:tcPr>
            <w:tcW w:type="dxa" w:w="5451"/>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electrical equipment will be PAT tested. All electrical cables will be secured as not to cause a hazard. All power supplies are RCD protected as per regulations</w:t>
            </w:r>
          </w:p>
        </w:tc>
      </w:tr>
      <w:tr>
        <w:tblPrEx>
          <w:shd w:val="clear" w:color="auto" w:fill="auto"/>
        </w:tblPrEx>
        <w:trPr>
          <w:trHeight w:val="954" w:hRule="atLeast"/>
        </w:trPr>
        <w:tc>
          <w:tcPr>
            <w:tcW w:type="dxa" w:w="4181"/>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Fire Hazards</w:t>
            </w:r>
          </w:p>
        </w:tc>
        <w:tc>
          <w:tcPr>
            <w:tcW w:type="dxa" w:w="5451"/>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All Materials will be stored with consideration of fire risks. All personnel will make themselves aware of fire egress routes and follow the guidance of the stewarding team should an emergency situation arise </w:t>
            </w:r>
          </w:p>
        </w:tc>
      </w:tr>
      <w:tr>
        <w:tblPrEx>
          <w:shd w:val="clear" w:color="auto" w:fill="auto"/>
        </w:tblPrEx>
        <w:trPr>
          <w:trHeight w:val="714" w:hRule="atLeast"/>
        </w:trPr>
        <w:tc>
          <w:tcPr>
            <w:tcW w:type="dxa" w:w="4181"/>
            <w:tcBorders>
              <w:top w:val="nil"/>
              <w:left w:val="single" w:color="000000" w:sz="2" w:space="0" w:shadow="0" w:frame="0"/>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Manual Handling</w:t>
            </w:r>
          </w:p>
        </w:tc>
        <w:tc>
          <w:tcPr>
            <w:tcW w:type="dxa" w:w="5451"/>
            <w:tcBorders>
              <w:top w:val="nil"/>
              <w:left w:val="nil"/>
              <w:bottom w:val="nil"/>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All materials are less than 20kg and suitable to be moved by manual handling. For anything heavier the FLT contractor will be employed. </w:t>
            </w:r>
          </w:p>
        </w:tc>
      </w:tr>
      <w:tr>
        <w:tblPrEx>
          <w:shd w:val="clear" w:color="auto" w:fill="auto"/>
        </w:tblPrEx>
        <w:trPr>
          <w:trHeight w:val="280" w:hRule="atLeast"/>
        </w:trPr>
        <w:tc>
          <w:tcPr>
            <w:tcW w:type="dxa" w:w="4181"/>
            <w:tcBorders>
              <w:top w:val="nil"/>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tc>
        <w:tc>
          <w:tcPr>
            <w:tcW w:type="dxa" w:w="5451"/>
            <w:tcBorders>
              <w:top w:val="nil"/>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50"/>
        <w:gridCol w:w="7287"/>
      </w:tblGrid>
      <w:tr>
        <w:tblPrEx>
          <w:shd w:val="clear" w:color="auto" w:fill="auto"/>
        </w:tblPrEx>
        <w:trPr>
          <w:trHeight w:val="293" w:hRule="atLeast"/>
          <w:tblHeader/>
        </w:trPr>
        <w:tc>
          <w:tcPr>
            <w:tcW w:type="dxa" w:w="9637"/>
            <w:gridSpan w:val="2"/>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rPr>
                <w:b w:val="1"/>
                <w:bCs w:val="1"/>
              </w:rPr>
              <w:t>Signed</w:t>
            </w:r>
          </w:p>
        </w:tc>
      </w:tr>
      <w:tr>
        <w:tblPrEx>
          <w:shd w:val="clear" w:color="auto" w:fill="auto"/>
        </w:tblPrEx>
        <w:trPr>
          <w:trHeight w:val="280" w:hRule="atLeast"/>
        </w:trPr>
        <w:tc>
          <w:tcPr>
            <w:tcW w:type="dxa" w:w="2350"/>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tc>
        <w:tc>
          <w:tcPr>
            <w:tcW w:type="dxa" w:w="7287"/>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